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7091F" w14:textId="6E3A64EF" w:rsidR="004C3910" w:rsidRDefault="004C3910" w:rsidP="004C3910">
      <w:pPr>
        <w:spacing w:before="180" w:after="180" w:line="480" w:lineRule="auto"/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ab/>
      </w:r>
      <w:proofErr w:type="spellStart"/>
      <w:r w:rsidRPr="004C3910"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>Alleg</w:t>
      </w:r>
      <w:proofErr w:type="spellEnd"/>
      <w:r w:rsidRPr="004C3910"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>, Inc.,</w:t>
      </w:r>
    </w:p>
    <w:p w14:paraId="513F227A" w14:textId="183F2FBC" w:rsidR="004C3910" w:rsidRDefault="004C3910" w:rsidP="004C3910">
      <w:pPr>
        <w:spacing w:before="180" w:after="180" w:line="480" w:lineRule="auto"/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</w:pPr>
      <w:r w:rsidRPr="004C3910"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>Classified Balance sheet</w:t>
      </w:r>
    </w:p>
    <w:p w14:paraId="224508DA" w14:textId="283FE092" w:rsidR="004C3910" w:rsidRDefault="004C3910" w:rsidP="004C3910">
      <w:pPr>
        <w:spacing w:before="180" w:after="180" w:line="480" w:lineRule="auto"/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</w:pPr>
      <w:r w:rsidRPr="004C3910"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>December 31, 2012</w:t>
      </w:r>
    </w:p>
    <w:p w14:paraId="3B26DDFE" w14:textId="425DC46B" w:rsidR="004C3910" w:rsidRPr="00C72F39" w:rsidRDefault="004C3910" w:rsidP="004C3910">
      <w:pPr>
        <w:spacing w:before="180" w:after="180" w:line="480" w:lineRule="auto"/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</w:pPr>
      <w:r w:rsidRPr="00C72F39"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 xml:space="preserve">The total asset turnover ratio is often used to analyze how well a company utilizes its assets to drive sales. </w:t>
      </w:r>
      <w:proofErr w:type="spellStart"/>
      <w:r w:rsidRPr="00C72F39"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>Alleg's</w:t>
      </w:r>
      <w:proofErr w:type="spellEnd"/>
      <w:r w:rsidRPr="00C72F39"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 xml:space="preserve"> Total Asset Turnover Rate for the year 2012 is 2.5 while that of its competitor in the same industry is 2.12. This indicates that </w:t>
      </w:r>
      <w:proofErr w:type="spellStart"/>
      <w:r w:rsidRPr="00C72F39"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>Alleg</w:t>
      </w:r>
      <w:proofErr w:type="spellEnd"/>
      <w:r w:rsidRPr="00C72F39"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 xml:space="preserve"> has a higher turnover rate compared to its competitor in the same sector. This implies that </w:t>
      </w:r>
      <w:proofErr w:type="spellStart"/>
      <w:r w:rsidRPr="00C72F39"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>Alleg</w:t>
      </w:r>
      <w:proofErr w:type="spellEnd"/>
      <w:r w:rsidRPr="00C72F39"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 xml:space="preserve"> is more efficient in utilizing its assets to generate revenue compared to its competitor for the year 2012. Therefore, this shows that </w:t>
      </w:r>
      <w:proofErr w:type="spellStart"/>
      <w:r w:rsidRPr="00C72F39"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>Alleg's</w:t>
      </w:r>
      <w:proofErr w:type="spellEnd"/>
      <w:r w:rsidRPr="00C72F39"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 xml:space="preserve"> Asset Management is efficient as </w:t>
      </w:r>
      <w:proofErr w:type="gramStart"/>
      <w:r w:rsidRPr="00C72F39"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>it</w:t>
      </w:r>
      <w:proofErr w:type="gramEnd"/>
      <w:r w:rsidRPr="00C72F39"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 xml:space="preserve"> higher Asset turnover rate compared to its primary competitor. The company utilizes its assets efficiently to generate income or revenue.  </w:t>
      </w:r>
    </w:p>
    <w:p w14:paraId="5D1F3B81" w14:textId="77777777" w:rsidR="004C3910" w:rsidRDefault="004C3910" w:rsidP="004C3910">
      <w:pPr>
        <w:spacing w:line="480" w:lineRule="auto"/>
        <w:rPr>
          <w:rFonts w:ascii="Times New Roman" w:eastAsia="Times New Roman" w:hAnsi="Times New Roman" w:cs="Times New Roman"/>
          <w:b/>
          <w:bCs/>
          <w:color w:val="343A3F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343A3F"/>
          <w:kern w:val="0"/>
          <w:sz w:val="24"/>
          <w:szCs w:val="24"/>
          <w14:ligatures w14:val="none"/>
        </w:rPr>
        <w:br w:type="page"/>
      </w:r>
    </w:p>
    <w:p w14:paraId="123AA2BA" w14:textId="77777777" w:rsidR="004C3910" w:rsidRPr="00C72F39" w:rsidRDefault="004C3910" w:rsidP="004C3910">
      <w:pPr>
        <w:spacing w:before="180" w:after="180" w:line="480" w:lineRule="auto"/>
        <w:jc w:val="center"/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</w:pPr>
      <w:r w:rsidRPr="00C72F39">
        <w:rPr>
          <w:rFonts w:ascii="Times New Roman" w:eastAsia="Times New Roman" w:hAnsi="Times New Roman" w:cs="Times New Roman"/>
          <w:b/>
          <w:bCs/>
          <w:color w:val="343A3F"/>
          <w:kern w:val="0"/>
          <w:sz w:val="24"/>
          <w:szCs w:val="24"/>
          <w14:ligatures w14:val="none"/>
        </w:rPr>
        <w:lastRenderedPageBreak/>
        <w:t>Reference</w:t>
      </w:r>
    </w:p>
    <w:p w14:paraId="6E816B65" w14:textId="77777777" w:rsidR="00142575" w:rsidRDefault="004C3910" w:rsidP="004C3910">
      <w:pPr>
        <w:spacing w:line="480" w:lineRule="auto"/>
        <w:ind w:left="720" w:hanging="720"/>
      </w:pPr>
      <w:r w:rsidRPr="00C72F39"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 xml:space="preserve">Trinidad, C. (2022, February 6). </w:t>
      </w:r>
      <w:r w:rsidRPr="00C72F39">
        <w:rPr>
          <w:rFonts w:ascii="Times New Roman" w:eastAsia="Times New Roman" w:hAnsi="Times New Roman" w:cs="Times New Roman"/>
          <w:i/>
          <w:iCs/>
          <w:color w:val="343A3F"/>
          <w:kern w:val="0"/>
          <w:sz w:val="24"/>
          <w:szCs w:val="24"/>
          <w14:ligatures w14:val="none"/>
        </w:rPr>
        <w:t>Asset turnover ratio</w:t>
      </w:r>
      <w:r w:rsidRPr="00C72F39">
        <w:rPr>
          <w:rFonts w:ascii="Times New Roman" w:eastAsia="Times New Roman" w:hAnsi="Times New Roman" w:cs="Times New Roman"/>
          <w:color w:val="343A3F"/>
          <w:kern w:val="0"/>
          <w:sz w:val="24"/>
          <w:szCs w:val="24"/>
          <w14:ligatures w14:val="none"/>
        </w:rPr>
        <w:t xml:space="preserve">. Corporate Finance Institute. Retrieved July 14, 2022, from </w:t>
      </w:r>
      <w:hyperlink r:id="rId4" w:history="1">
        <w:r w:rsidRPr="00C72F39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https://corporatefinanceinstitute.com/resources/knowledge/finance/asset-turnover-ratio/</w:t>
        </w:r>
      </w:hyperlink>
    </w:p>
    <w:sectPr w:rsidR="001425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KyMDU1MLQwMDQwtrBU0lEKTi0uzszPAykwrAUAzulLgCwAAAA="/>
  </w:docVars>
  <w:rsids>
    <w:rsidRoot w:val="004C3910"/>
    <w:rsid w:val="00142575"/>
    <w:rsid w:val="004C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03B39"/>
  <w15:chartTrackingRefBased/>
  <w15:docId w15:val="{6D818D05-6EC6-4341-9D8B-7A4692CD1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910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39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rporatefinanceinstitute.com/resources/knowledge/finance/asset-turnover-rati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Dickson</dc:creator>
  <cp:keywords/>
  <dc:description/>
  <cp:lastModifiedBy>Patrick Dickson</cp:lastModifiedBy>
  <cp:revision>1</cp:revision>
  <dcterms:created xsi:type="dcterms:W3CDTF">2022-07-14T15:18:00Z</dcterms:created>
  <dcterms:modified xsi:type="dcterms:W3CDTF">2022-07-14T18:46:00Z</dcterms:modified>
</cp:coreProperties>
</file>